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3713025" cy="1692913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3025" cy="1692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2015 ANNUAL GENERAL MEETING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Wednesday, April 22, 2015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9:30 – 10:00 PDT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Webinar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sz w:val="24"/>
          <w:rtl w:val="0"/>
        </w:rPr>
        <w:t xml:space="preserve">DRAFT AGENDA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Welcome and 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Adoption of Rules of Order and confirmation of Agenda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Highlights from 2014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Treasurer’s Report on 2014 Finances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Introduction of the 2015 Board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Plans for 2015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</w:rPr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AGM Business Meeting Adjournment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